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12" w:rsidRDefault="00BE5512" w:rsidP="00AF3CD2">
      <w:pPr>
        <w:pStyle w:val="Nadpis1"/>
        <w:spacing w:before="0" w:line="240" w:lineRule="auto"/>
        <w:rPr>
          <w:rFonts w:cs="Times New Roman"/>
        </w:rPr>
      </w:pPr>
      <w:bookmarkStart w:id="0" w:name="_GoBack"/>
      <w:bookmarkEnd w:id="0"/>
      <w:r w:rsidRPr="00DD0B3B">
        <w:rPr>
          <w:color w:val="FF0000"/>
        </w:rPr>
        <w:t xml:space="preserve"> Zahraničné dodávateľské vzťahy</w:t>
      </w:r>
    </w:p>
    <w:p w:rsidR="00BE5512" w:rsidRDefault="00BE5512" w:rsidP="006A2DCC">
      <w:pPr>
        <w:jc w:val="both"/>
        <w:rPr>
          <w:color w:val="000000"/>
        </w:rPr>
      </w:pPr>
    </w:p>
    <w:p w:rsidR="00BE5512" w:rsidRPr="00DD0B3B" w:rsidRDefault="00BE5512" w:rsidP="006A2DCC">
      <w:pPr>
        <w:jc w:val="both"/>
        <w:rPr>
          <w:color w:val="000000"/>
          <w:sz w:val="24"/>
          <w:szCs w:val="24"/>
        </w:rPr>
      </w:pPr>
      <w:r w:rsidRPr="00DD0B3B">
        <w:rPr>
          <w:color w:val="000000"/>
          <w:sz w:val="24"/>
          <w:szCs w:val="24"/>
        </w:rPr>
        <w:t>Zahraničné pohľadávky a záväzky – sú to pohľadávky a záväzky znejúce na cudziu menu.  Vznikajú pri nákupe a predaji v cudzej mene na základe zahraničnej faktúry.</w:t>
      </w:r>
    </w:p>
    <w:p w:rsidR="00BE5512" w:rsidRPr="00DD0B3B" w:rsidRDefault="00BE5512" w:rsidP="006A2DCC">
      <w:pPr>
        <w:ind w:left="1416" w:firstLine="708"/>
        <w:jc w:val="both"/>
        <w:rPr>
          <w:color w:val="FF0000"/>
          <w:sz w:val="24"/>
          <w:szCs w:val="24"/>
        </w:rPr>
      </w:pPr>
      <w:r w:rsidRPr="00DD0B3B">
        <w:rPr>
          <w:color w:val="FF0000"/>
          <w:sz w:val="24"/>
          <w:szCs w:val="24"/>
        </w:rPr>
        <w:t>ZDFA – zahraničná dodávateľská faktúra</w:t>
      </w:r>
    </w:p>
    <w:p w:rsidR="00BE5512" w:rsidRPr="00DD0B3B" w:rsidRDefault="00BE5512" w:rsidP="006A2DCC">
      <w:pPr>
        <w:ind w:left="1416" w:firstLine="708"/>
        <w:jc w:val="both"/>
        <w:rPr>
          <w:color w:val="FF0000"/>
          <w:sz w:val="24"/>
          <w:szCs w:val="24"/>
        </w:rPr>
      </w:pPr>
      <w:r w:rsidRPr="00DD0B3B">
        <w:rPr>
          <w:color w:val="FF0000"/>
          <w:sz w:val="24"/>
          <w:szCs w:val="24"/>
        </w:rPr>
        <w:t>ZOFA – zahraničná odberateľská faktúra</w:t>
      </w:r>
    </w:p>
    <w:p w:rsidR="00BE5512" w:rsidRPr="00DD0B3B" w:rsidRDefault="00BE5512" w:rsidP="006A2DCC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D0B3B">
        <w:rPr>
          <w:sz w:val="24"/>
          <w:szCs w:val="24"/>
        </w:rPr>
        <w:t>Pri obchodovaní zo zahraničím musíme prepočítavať cudziu menu na slovenskú menu;</w:t>
      </w:r>
    </w:p>
    <w:p w:rsidR="00BE5512" w:rsidRPr="00DD0B3B" w:rsidRDefault="00BE5512" w:rsidP="006A2DCC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D0B3B">
        <w:rPr>
          <w:sz w:val="24"/>
          <w:szCs w:val="24"/>
        </w:rPr>
        <w:t>Pohľadávky a záväzky vyjadrené v cudzej mene sa ku dňu uskutočnenia účtovného prípadu ocenia referenčným výmenným kurzom vyhláseným ECB v deň predchádzajúci vzniku dňu uskutočnenia účtovného prípadu;</w:t>
      </w:r>
      <w:r w:rsidRPr="00DD0B3B">
        <w:rPr>
          <w:sz w:val="24"/>
          <w:szCs w:val="24"/>
        </w:rPr>
        <w:tab/>
      </w:r>
    </w:p>
    <w:p w:rsidR="00BE5512" w:rsidRPr="00DD0B3B" w:rsidRDefault="00BE5512" w:rsidP="006A2DCC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D0B3B">
        <w:rPr>
          <w:sz w:val="24"/>
          <w:szCs w:val="24"/>
        </w:rPr>
        <w:t>Podľa zákona o dani z pridanej hodnoty, základ dane z pridanej hodnoty vyjadrený v cudzej mene sa prepočíta na € referenčným výmenným kurzom vyhláseným ECB v deň predchádzajúci dňu  vzniku daňovej povinnosti;</w:t>
      </w:r>
    </w:p>
    <w:p w:rsidR="00BE5512" w:rsidRPr="00DD0B3B" w:rsidRDefault="00BE5512" w:rsidP="006A2DCC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D0B3B">
        <w:rPr>
          <w:sz w:val="24"/>
          <w:szCs w:val="24"/>
        </w:rPr>
        <w:t>Úhrady zahraničných faktúr môžeme realizovať z bežného účtu alebo z devízového účtu;</w:t>
      </w:r>
    </w:p>
    <w:p w:rsidR="00BE5512" w:rsidRPr="00DD0B3B" w:rsidRDefault="00BE5512" w:rsidP="006A2DCC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D0B3B">
        <w:rPr>
          <w:sz w:val="24"/>
          <w:szCs w:val="24"/>
        </w:rPr>
        <w:t>Pri úhradách z devízového účtu používame referenčný výmenný  kurz ECB v deň predchádzajúci dňu uskutočnenia účtovného prípadu;</w:t>
      </w:r>
    </w:p>
    <w:p w:rsidR="00BE5512" w:rsidRPr="00DD0B3B" w:rsidRDefault="00BE5512" w:rsidP="006A2DCC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DD0B3B">
        <w:rPr>
          <w:sz w:val="24"/>
          <w:szCs w:val="24"/>
        </w:rPr>
        <w:t>Pri úhradách zahraničných faktúr z  bežného účtu používame kurz komerčnej banky – devízy nákup alebo predaj v deň uskutočnenia účtovného prípadu;</w:t>
      </w:r>
    </w:p>
    <w:p w:rsidR="00BE5512" w:rsidRPr="00DD0B3B" w:rsidRDefault="009A377E" w:rsidP="006A2DCC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sk-SK"/>
        </w:rPr>
        <w:pict>
          <v:oval id="Ovál 12" o:spid="_x0000_s1026" style="position:absolute;left:0;text-align:left;margin-left:148.15pt;margin-top:32.45pt;width:132pt;height:45.75pt;z-index:251655680;visibility:visible" fillcolor="#c6d9f1">
            <v:textbox>
              <w:txbxContent>
                <w:p w:rsidR="00BE5512" w:rsidRDefault="00BE5512" w:rsidP="006A2DCC">
                  <w:pPr>
                    <w:spacing w:after="0" w:line="240" w:lineRule="auto"/>
                  </w:pPr>
                  <w:r>
                    <w:t xml:space="preserve">    </w:t>
                  </w:r>
                  <w:r w:rsidRPr="005703B7">
                    <w:t>Kurzový rozdiel</w:t>
                  </w:r>
                </w:p>
                <w:p w:rsidR="00BE5512" w:rsidRDefault="00BE5512" w:rsidP="006A2DCC">
                  <w:pPr>
                    <w:spacing w:after="0" w:line="240" w:lineRule="auto"/>
                  </w:pPr>
                  <w:r>
                    <w:t xml:space="preserve">          môže byť:</w:t>
                  </w:r>
                </w:p>
              </w:txbxContent>
            </v:textbox>
          </v:oval>
        </w:pict>
      </w:r>
      <w:r w:rsidR="00BE5512" w:rsidRPr="00DD0B3B">
        <w:rPr>
          <w:sz w:val="24"/>
          <w:szCs w:val="24"/>
        </w:rPr>
        <w:t>Pri každej úhrade zahraničnej faktúry musíme zaúčtovať prostredníctvom ID kurzový rozdiel.</w:t>
      </w:r>
    </w:p>
    <w:p w:rsidR="00BE5512" w:rsidRPr="00DD0B3B" w:rsidRDefault="00BE5512" w:rsidP="006A2DCC">
      <w:pPr>
        <w:spacing w:line="360" w:lineRule="auto"/>
        <w:jc w:val="both"/>
        <w:rPr>
          <w:sz w:val="24"/>
          <w:szCs w:val="24"/>
        </w:rPr>
      </w:pPr>
    </w:p>
    <w:p w:rsidR="00BE5512" w:rsidRPr="00DD0B3B" w:rsidRDefault="009A377E" w:rsidP="006A2DCC">
      <w:pPr>
        <w:spacing w:line="360" w:lineRule="auto"/>
        <w:ind w:left="720"/>
        <w:rPr>
          <w:sz w:val="24"/>
          <w:szCs w:val="24"/>
        </w:rPr>
      </w:pPr>
      <w:r>
        <w:rPr>
          <w:noProof/>
          <w:lang w:eastAsia="sk-SK"/>
        </w:rPr>
        <w:pict>
          <v:oval id="Ovál 8" o:spid="_x0000_s1027" style="position:absolute;left:0;text-align:left;margin-left:313.1pt;margin-top:12.8pt;width:144.75pt;height:66pt;z-index:251659776;visibility:visible" fillcolor="#c6d9f1">
            <v:textbox>
              <w:txbxContent>
                <w:p w:rsidR="00BE5512" w:rsidRPr="00DD0B3B" w:rsidRDefault="00BE5512" w:rsidP="006A2DCC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DD0B3B">
                    <w:rPr>
                      <w:color w:val="FF0000"/>
                      <w:sz w:val="20"/>
                      <w:szCs w:val="20"/>
                    </w:rPr>
                    <w:t xml:space="preserve">          STRATA</w:t>
                  </w:r>
                </w:p>
                <w:p w:rsidR="00BE5512" w:rsidRPr="00DD0B3B" w:rsidRDefault="00BE5512" w:rsidP="006A2D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0B3B">
                    <w:rPr>
                      <w:sz w:val="20"/>
                      <w:szCs w:val="20"/>
                    </w:rPr>
                    <w:t>Pohľadávky 563/311</w:t>
                  </w:r>
                </w:p>
                <w:p w:rsidR="00BE5512" w:rsidRPr="00DD0B3B" w:rsidRDefault="00BE5512" w:rsidP="006A2DCC">
                  <w:pPr>
                    <w:rPr>
                      <w:sz w:val="20"/>
                      <w:szCs w:val="20"/>
                    </w:rPr>
                  </w:pPr>
                  <w:r w:rsidRPr="00DD0B3B">
                    <w:rPr>
                      <w:sz w:val="20"/>
                      <w:szCs w:val="20"/>
                    </w:rPr>
                    <w:t xml:space="preserve">Záväzky       563/321 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1" o:spid="_x0000_s1028" type="#_x0000_t32" style="position:absolute;left:0;text-align:left;margin-left:271.9pt;margin-top:.8pt;width:51pt;height:24pt;z-index:251657728;visibility:visible">
            <v:stroke endarrow="block"/>
          </v:shape>
        </w:pict>
      </w:r>
      <w:r>
        <w:rPr>
          <w:noProof/>
          <w:lang w:eastAsia="sk-SK"/>
        </w:rPr>
        <w:pict>
          <v:oval id="Ovál 9" o:spid="_x0000_s1029" style="position:absolute;left:0;text-align:left;margin-left:8.65pt;margin-top:18.05pt;width:147pt;height:69.75pt;z-index:251658752;visibility:visible" fillcolor="#c6d9f1">
            <v:textbox>
              <w:txbxContent>
                <w:p w:rsidR="00BE5512" w:rsidRPr="00DD0B3B" w:rsidRDefault="00BE5512" w:rsidP="006A2DCC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DD0B3B">
                    <w:rPr>
                      <w:color w:val="FF0000"/>
                      <w:sz w:val="20"/>
                      <w:szCs w:val="20"/>
                    </w:rPr>
                    <w:t xml:space="preserve">             ZISK</w:t>
                  </w:r>
                </w:p>
                <w:p w:rsidR="00BE5512" w:rsidRPr="00DD0B3B" w:rsidRDefault="00BE5512" w:rsidP="006A2DC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0B3B">
                    <w:rPr>
                      <w:sz w:val="20"/>
                      <w:szCs w:val="20"/>
                    </w:rPr>
                    <w:t>Pohľadávky 311/663</w:t>
                  </w:r>
                </w:p>
                <w:p w:rsidR="00BE5512" w:rsidRPr="00DD0B3B" w:rsidRDefault="00BE5512" w:rsidP="006A2DCC">
                  <w:pPr>
                    <w:rPr>
                      <w:sz w:val="20"/>
                      <w:szCs w:val="20"/>
                    </w:rPr>
                  </w:pPr>
                  <w:r w:rsidRPr="00DD0B3B">
                    <w:rPr>
                      <w:sz w:val="20"/>
                      <w:szCs w:val="20"/>
                    </w:rPr>
                    <w:t>Záväzky       321/663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shape id="Rovná spojovacia šípka 10" o:spid="_x0000_s1030" type="#_x0000_t32" style="position:absolute;left:0;text-align:left;margin-left:129.4pt;margin-top:1.55pt;width:46.5pt;height:23.25pt;flip:x;z-index:251656704;visibility:visible">
            <v:stroke endarrow="block"/>
          </v:shape>
        </w:pict>
      </w:r>
    </w:p>
    <w:p w:rsidR="00BE5512" w:rsidRPr="00DD0B3B" w:rsidRDefault="00BE5512" w:rsidP="006A2DCC">
      <w:pPr>
        <w:spacing w:line="360" w:lineRule="auto"/>
        <w:rPr>
          <w:sz w:val="24"/>
          <w:szCs w:val="24"/>
        </w:rPr>
      </w:pPr>
    </w:p>
    <w:p w:rsidR="00BE5512" w:rsidRPr="00DD0B3B" w:rsidRDefault="00BE5512" w:rsidP="006A2DCC">
      <w:pPr>
        <w:spacing w:line="360" w:lineRule="auto"/>
        <w:rPr>
          <w:sz w:val="24"/>
          <w:szCs w:val="24"/>
        </w:rPr>
      </w:pPr>
    </w:p>
    <w:p w:rsidR="00BE5512" w:rsidRDefault="00BE5512" w:rsidP="006A2DCC">
      <w:pPr>
        <w:rPr>
          <w:b/>
          <w:bCs/>
          <w:i/>
          <w:iCs/>
          <w:color w:val="FF0000"/>
          <w:sz w:val="24"/>
          <w:szCs w:val="24"/>
        </w:rPr>
      </w:pPr>
    </w:p>
    <w:p w:rsidR="00BE5512" w:rsidRDefault="00BE5512" w:rsidP="006A2DCC">
      <w:pPr>
        <w:rPr>
          <w:b/>
          <w:bCs/>
          <w:i/>
          <w:iCs/>
          <w:color w:val="FF0000"/>
          <w:sz w:val="24"/>
          <w:szCs w:val="24"/>
        </w:rPr>
      </w:pPr>
    </w:p>
    <w:p w:rsidR="00BE5512" w:rsidRDefault="00BE5512" w:rsidP="006A2DCC">
      <w:pPr>
        <w:rPr>
          <w:b/>
          <w:bCs/>
          <w:i/>
          <w:iCs/>
          <w:color w:val="FF0000"/>
          <w:sz w:val="24"/>
          <w:szCs w:val="24"/>
        </w:rPr>
      </w:pPr>
    </w:p>
    <w:p w:rsidR="00BE5512" w:rsidRPr="00DD0B3B" w:rsidRDefault="00BE5512" w:rsidP="006A2DCC">
      <w:pPr>
        <w:rPr>
          <w:b/>
          <w:bCs/>
          <w:color w:val="FF0000"/>
          <w:sz w:val="24"/>
          <w:szCs w:val="24"/>
        </w:rPr>
      </w:pPr>
      <w:r w:rsidRPr="00DD0B3B">
        <w:rPr>
          <w:b/>
          <w:bCs/>
          <w:i/>
          <w:iCs/>
          <w:color w:val="FF0000"/>
          <w:sz w:val="24"/>
          <w:szCs w:val="24"/>
        </w:rPr>
        <w:lastRenderedPageBreak/>
        <w:t>D</w:t>
      </w:r>
      <w:r>
        <w:rPr>
          <w:b/>
          <w:bCs/>
          <w:i/>
          <w:iCs/>
          <w:color w:val="FF0000"/>
          <w:sz w:val="24"/>
          <w:szCs w:val="24"/>
        </w:rPr>
        <w:t>OVOZ</w:t>
      </w:r>
      <w:r w:rsidRPr="00DD0B3B">
        <w:rPr>
          <w:b/>
          <w:bCs/>
          <w:i/>
          <w:iCs/>
          <w:color w:val="FF0000"/>
          <w:sz w:val="24"/>
          <w:szCs w:val="24"/>
        </w:rPr>
        <w:t xml:space="preserve"> (nákup)</w:t>
      </w:r>
    </w:p>
    <w:p w:rsidR="00BE5512" w:rsidRPr="00DD0B3B" w:rsidRDefault="00BE5512" w:rsidP="006A2DCC">
      <w:pPr>
        <w:pStyle w:val="Odsekzoznamu1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0B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Dovoz z krajín, ktoré nie sú v Európskej únii, </w:t>
      </w:r>
    </w:p>
    <w:p w:rsidR="00BE5512" w:rsidRPr="00DD0B3B" w:rsidRDefault="00BE5512" w:rsidP="006A2DCC">
      <w:pPr>
        <w:pStyle w:val="Odsekzoznamu1"/>
        <w:numPr>
          <w:ilvl w:val="0"/>
          <w:numId w:val="2"/>
        </w:num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D0B3B">
        <w:rPr>
          <w:rFonts w:ascii="Times New Roman" w:hAnsi="Times New Roman" w:cs="Times New Roman"/>
          <w:sz w:val="24"/>
          <w:szCs w:val="24"/>
        </w:rPr>
        <w:t xml:space="preserve">každý nákup mimo krajín EÚ podlieha </w:t>
      </w:r>
      <w:r w:rsidRPr="00DD0B3B">
        <w:rPr>
          <w:rFonts w:ascii="Times New Roman" w:hAnsi="Times New Roman" w:cs="Times New Roman"/>
          <w:color w:val="FF0000"/>
          <w:sz w:val="24"/>
          <w:szCs w:val="24"/>
        </w:rPr>
        <w:t>clu</w:t>
      </w:r>
      <w:r w:rsidRPr="00DD0B3B">
        <w:rPr>
          <w:rFonts w:ascii="Times New Roman" w:hAnsi="Times New Roman" w:cs="Times New Roman"/>
          <w:sz w:val="24"/>
          <w:szCs w:val="24"/>
        </w:rPr>
        <w:t xml:space="preserve"> a </w:t>
      </w:r>
      <w:r w:rsidRPr="00DD0B3B">
        <w:rPr>
          <w:rFonts w:ascii="Times New Roman" w:hAnsi="Times New Roman" w:cs="Times New Roman"/>
          <w:color w:val="FF0000"/>
          <w:sz w:val="24"/>
          <w:szCs w:val="24"/>
        </w:rPr>
        <w:t xml:space="preserve">DPH, </w:t>
      </w:r>
      <w:r w:rsidRPr="00DD0B3B">
        <w:rPr>
          <w:rFonts w:ascii="Times New Roman" w:hAnsi="Times New Roman" w:cs="Times New Roman"/>
          <w:sz w:val="24"/>
          <w:szCs w:val="24"/>
        </w:rPr>
        <w:t xml:space="preserve">ktoré vyúčtuje </w:t>
      </w:r>
      <w:r w:rsidRPr="00DD0B3B">
        <w:rPr>
          <w:rFonts w:ascii="Times New Roman" w:hAnsi="Times New Roman" w:cs="Times New Roman"/>
          <w:color w:val="FF0000"/>
          <w:sz w:val="24"/>
          <w:szCs w:val="24"/>
        </w:rPr>
        <w:t xml:space="preserve">colný úrad </w:t>
      </w:r>
      <w:r w:rsidRPr="00DD0B3B">
        <w:rPr>
          <w:rFonts w:ascii="Times New Roman" w:hAnsi="Times New Roman" w:cs="Times New Roman"/>
          <w:sz w:val="24"/>
          <w:szCs w:val="24"/>
        </w:rPr>
        <w:t xml:space="preserve">na základe </w:t>
      </w:r>
      <w:r w:rsidRPr="00DD0B3B">
        <w:rPr>
          <w:rFonts w:ascii="Times New Roman" w:hAnsi="Times New Roman" w:cs="Times New Roman"/>
          <w:color w:val="FF0000"/>
          <w:sz w:val="24"/>
          <w:szCs w:val="24"/>
        </w:rPr>
        <w:t xml:space="preserve">dokladu JCD </w:t>
      </w:r>
      <w:r w:rsidRPr="00DD0B3B">
        <w:rPr>
          <w:rFonts w:ascii="Times New Roman" w:hAnsi="Times New Roman" w:cs="Times New Roman"/>
          <w:sz w:val="24"/>
          <w:szCs w:val="24"/>
        </w:rPr>
        <w:t>(jednotný colný doklad, colná deklarácia)</w:t>
      </w:r>
    </w:p>
    <w:p w:rsidR="00BE5512" w:rsidRPr="00DD0B3B" w:rsidRDefault="00BE5512" w:rsidP="00714818">
      <w:pPr>
        <w:pStyle w:val="Odsekzoznamu1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0B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Príklad: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6"/>
        <w:gridCol w:w="896"/>
        <w:gridCol w:w="1013"/>
        <w:gridCol w:w="4209"/>
        <w:gridCol w:w="1143"/>
        <w:gridCol w:w="637"/>
        <w:gridCol w:w="770"/>
      </w:tblGrid>
      <w:tr w:rsidR="00BE5512" w:rsidRPr="0040745B">
        <w:trPr>
          <w:cantSplit/>
          <w:jc w:val="center"/>
        </w:trPr>
        <w:tc>
          <w:tcPr>
            <w:tcW w:w="542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proofErr w:type="spellStart"/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P.č</w:t>
            </w:r>
            <w:proofErr w:type="spellEnd"/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.</w:t>
            </w:r>
          </w:p>
        </w:tc>
        <w:tc>
          <w:tcPr>
            <w:tcW w:w="812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Dátum</w:t>
            </w:r>
          </w:p>
        </w:tc>
        <w:tc>
          <w:tcPr>
            <w:tcW w:w="912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Doklad</w:t>
            </w:r>
          </w:p>
        </w:tc>
        <w:tc>
          <w:tcPr>
            <w:tcW w:w="4283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Text</w:t>
            </w:r>
          </w:p>
        </w:tc>
        <w:tc>
          <w:tcPr>
            <w:tcW w:w="1143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Suma €</w:t>
            </w:r>
          </w:p>
        </w:tc>
        <w:tc>
          <w:tcPr>
            <w:tcW w:w="1415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Účet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42" w:type="dxa"/>
            <w:vMerge/>
            <w:tcBorders>
              <w:bottom w:val="thickThinSmallGap" w:sz="12" w:space="0" w:color="auto"/>
            </w:tcBorders>
            <w:shd w:val="clear" w:color="auto" w:fill="D9D9D9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812" w:type="dxa"/>
            <w:vMerge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912" w:type="dxa"/>
            <w:vMerge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4283" w:type="dxa"/>
            <w:vMerge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1143" w:type="dxa"/>
            <w:vMerge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641" w:type="dxa"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 xml:space="preserve">MD   </w:t>
            </w:r>
          </w:p>
        </w:tc>
        <w:tc>
          <w:tcPr>
            <w:tcW w:w="774" w:type="dxa"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 xml:space="preserve">DAL  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trHeight w:val="284"/>
          <w:jc w:val="center"/>
        </w:trPr>
        <w:tc>
          <w:tcPr>
            <w:tcW w:w="542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2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20. 02.</w:t>
            </w:r>
          </w:p>
        </w:tc>
        <w:tc>
          <w:tcPr>
            <w:tcW w:w="912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ZDFA</w:t>
            </w:r>
          </w:p>
        </w:tc>
        <w:tc>
          <w:tcPr>
            <w:tcW w:w="4283" w:type="dxa"/>
            <w:vAlign w:val="center"/>
          </w:tcPr>
          <w:p w:rsidR="00BE5512" w:rsidRPr="00DD0B3B" w:rsidRDefault="00BE5512" w:rsidP="00150554">
            <w:pPr>
              <w:pStyle w:val="Odsekzoznamu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Faktúra za nákup 2000ks hokejok z </w:t>
            </w:r>
            <w:proofErr w:type="spellStart"/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Canady</w:t>
            </w:r>
            <w:proofErr w:type="spellEnd"/>
            <w:r w:rsidRPr="00DD0B3B">
              <w:rPr>
                <w:rFonts w:ascii="Times New Roman" w:hAnsi="Times New Roman" w:cs="Times New Roman"/>
                <w:sz w:val="24"/>
                <w:szCs w:val="24"/>
              </w:rPr>
              <w:t xml:space="preserve"> cena za ks 50,00 CAN 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a/ cena bez DPH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100 000,00CAN/1,4231(kurz ECB z 19.02.) = 70 269,12 €</w:t>
            </w:r>
          </w:p>
        </w:tc>
        <w:tc>
          <w:tcPr>
            <w:tcW w:w="1143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70 269,12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131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321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542" w:type="dxa"/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2.</w:t>
            </w:r>
          </w:p>
        </w:tc>
        <w:tc>
          <w:tcPr>
            <w:tcW w:w="812" w:type="dxa"/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20. 02.</w:t>
            </w:r>
          </w:p>
        </w:tc>
        <w:tc>
          <w:tcPr>
            <w:tcW w:w="912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JC D</w:t>
            </w:r>
          </w:p>
        </w:tc>
        <w:tc>
          <w:tcPr>
            <w:tcW w:w="4283" w:type="dxa"/>
            <w:vAlign w:val="center"/>
          </w:tcPr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Colný výmer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a/ clo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b/ DPH (70 269,12 + 500) = 14 153,82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c/ Spolu</w:t>
            </w:r>
          </w:p>
        </w:tc>
        <w:tc>
          <w:tcPr>
            <w:tcW w:w="1143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500,00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14 153,82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14 653,82</w:t>
            </w:r>
          </w:p>
        </w:tc>
        <w:tc>
          <w:tcPr>
            <w:tcW w:w="641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131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343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379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trHeight w:val="284"/>
          <w:jc w:val="center"/>
        </w:trPr>
        <w:tc>
          <w:tcPr>
            <w:tcW w:w="542" w:type="dxa"/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3.</w:t>
            </w:r>
          </w:p>
        </w:tc>
        <w:tc>
          <w:tcPr>
            <w:tcW w:w="812" w:type="dxa"/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20. 02.</w:t>
            </w:r>
          </w:p>
        </w:tc>
        <w:tc>
          <w:tcPr>
            <w:tcW w:w="912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PRIJ</w:t>
            </w:r>
          </w:p>
        </w:tc>
        <w:tc>
          <w:tcPr>
            <w:tcW w:w="4283" w:type="dxa"/>
            <w:vAlign w:val="center"/>
          </w:tcPr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 xml:space="preserve">Prevzatie tovaru na sklad 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70 269,12 + 500 = 70 769,12</w:t>
            </w:r>
          </w:p>
        </w:tc>
        <w:tc>
          <w:tcPr>
            <w:tcW w:w="1143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70 769,12</w:t>
            </w:r>
          </w:p>
        </w:tc>
        <w:tc>
          <w:tcPr>
            <w:tcW w:w="641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74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131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542" w:type="dxa"/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4.</w:t>
            </w:r>
          </w:p>
        </w:tc>
        <w:tc>
          <w:tcPr>
            <w:tcW w:w="812" w:type="dxa"/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25. 02.</w:t>
            </w:r>
          </w:p>
        </w:tc>
        <w:tc>
          <w:tcPr>
            <w:tcW w:w="912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VDU</w:t>
            </w:r>
          </w:p>
        </w:tc>
        <w:tc>
          <w:tcPr>
            <w:tcW w:w="4283" w:type="dxa"/>
            <w:vAlign w:val="center"/>
          </w:tcPr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Úhrada ZDFA kurz ECB 24.02.  1,4331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100 000,00 / 1,4331 = 69 778,80 €</w:t>
            </w:r>
          </w:p>
        </w:tc>
        <w:tc>
          <w:tcPr>
            <w:tcW w:w="1143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69 778,80</w:t>
            </w:r>
          </w:p>
        </w:tc>
        <w:tc>
          <w:tcPr>
            <w:tcW w:w="641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74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221.2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542" w:type="dxa"/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5.</w:t>
            </w:r>
          </w:p>
        </w:tc>
        <w:tc>
          <w:tcPr>
            <w:tcW w:w="812" w:type="dxa"/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25. 02.</w:t>
            </w:r>
          </w:p>
        </w:tc>
        <w:tc>
          <w:tcPr>
            <w:tcW w:w="912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4283" w:type="dxa"/>
            <w:vAlign w:val="center"/>
          </w:tcPr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 xml:space="preserve">Kurzový rozdiel 70 269,12 – 69 778,80 = 490,32 </w:t>
            </w:r>
          </w:p>
        </w:tc>
        <w:tc>
          <w:tcPr>
            <w:tcW w:w="1143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490,32</w:t>
            </w:r>
          </w:p>
        </w:tc>
        <w:tc>
          <w:tcPr>
            <w:tcW w:w="641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74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663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9107" w:type="dxa"/>
            <w:gridSpan w:val="7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ak nastáva úhrada z bežného účtu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542" w:type="dxa"/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4.</w:t>
            </w:r>
          </w:p>
        </w:tc>
        <w:tc>
          <w:tcPr>
            <w:tcW w:w="812" w:type="dxa"/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25. 02.</w:t>
            </w:r>
          </w:p>
        </w:tc>
        <w:tc>
          <w:tcPr>
            <w:tcW w:w="912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VBU</w:t>
            </w:r>
          </w:p>
        </w:tc>
        <w:tc>
          <w:tcPr>
            <w:tcW w:w="4283" w:type="dxa"/>
            <w:vAlign w:val="center"/>
          </w:tcPr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Úhrada ZDFA kurz KB devízy predaj 1,4220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100 000,00 / 1,4220 = 70 323,49 €</w:t>
            </w:r>
          </w:p>
        </w:tc>
        <w:tc>
          <w:tcPr>
            <w:tcW w:w="1143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70 323,49</w:t>
            </w:r>
          </w:p>
        </w:tc>
        <w:tc>
          <w:tcPr>
            <w:tcW w:w="641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74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221.1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trHeight w:val="284"/>
          <w:jc w:val="center"/>
        </w:trPr>
        <w:tc>
          <w:tcPr>
            <w:tcW w:w="542" w:type="dxa"/>
            <w:tcBorders>
              <w:bottom w:val="thinThickSmallGap" w:sz="12" w:space="0" w:color="auto"/>
            </w:tcBorders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5.</w:t>
            </w:r>
          </w:p>
        </w:tc>
        <w:tc>
          <w:tcPr>
            <w:tcW w:w="812" w:type="dxa"/>
            <w:tcBorders>
              <w:bottom w:val="thinThickSmallGap" w:sz="12" w:space="0" w:color="auto"/>
            </w:tcBorders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25. 02</w:t>
            </w:r>
          </w:p>
        </w:tc>
        <w:tc>
          <w:tcPr>
            <w:tcW w:w="912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4283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Kurzový rozdiel 70 269,12 – 70 323,49 = -54,36</w:t>
            </w:r>
          </w:p>
        </w:tc>
        <w:tc>
          <w:tcPr>
            <w:tcW w:w="1143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641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774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321</w:t>
            </w:r>
          </w:p>
        </w:tc>
      </w:tr>
    </w:tbl>
    <w:p w:rsidR="00BE5512" w:rsidRDefault="00BE5512" w:rsidP="00714818">
      <w:pPr>
        <w:pStyle w:val="Odsekzoznamu1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5512" w:rsidRPr="00DD0B3B" w:rsidRDefault="00BE5512" w:rsidP="00714818">
      <w:pPr>
        <w:pStyle w:val="Odsekzoznamu1"/>
        <w:numPr>
          <w:ilvl w:val="0"/>
          <w:numId w:val="1"/>
        </w:num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877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Dovoz z krajín, ktoré sú v Európskej únii</w:t>
      </w:r>
    </w:p>
    <w:p w:rsidR="00BE5512" w:rsidRPr="00DD0B3B" w:rsidRDefault="00BE5512" w:rsidP="006A2DCC">
      <w:pPr>
        <w:numPr>
          <w:ilvl w:val="0"/>
          <w:numId w:val="7"/>
        </w:numPr>
        <w:spacing w:after="0"/>
        <w:ind w:left="714" w:hanging="357"/>
        <w:jc w:val="both"/>
        <w:rPr>
          <w:sz w:val="24"/>
          <w:szCs w:val="24"/>
        </w:rPr>
      </w:pPr>
      <w:r w:rsidRPr="00DD0B3B">
        <w:rPr>
          <w:color w:val="000000"/>
          <w:sz w:val="24"/>
          <w:szCs w:val="24"/>
        </w:rPr>
        <w:t>Ak dovážame tovar  z krajín EÚ sledujeme či je zahraničný dodávateľ platcom DPH, ak je platcom DPH a naša firma je tiež platcom DPH</w:t>
      </w:r>
      <w:r w:rsidRPr="00DD0B3B">
        <w:rPr>
          <w:sz w:val="24"/>
          <w:szCs w:val="24"/>
        </w:rPr>
        <w:t xml:space="preserve">  účtujeme</w:t>
      </w:r>
      <w:r w:rsidRPr="00DD0B3B">
        <w:rPr>
          <w:color w:val="7030A0"/>
          <w:sz w:val="24"/>
          <w:szCs w:val="24"/>
        </w:rPr>
        <w:t xml:space="preserve"> </w:t>
      </w:r>
      <w:r w:rsidRPr="00B87754">
        <w:rPr>
          <w:color w:val="FF0000"/>
          <w:sz w:val="24"/>
          <w:szCs w:val="24"/>
        </w:rPr>
        <w:t xml:space="preserve">tzv. samozdanenie. </w:t>
      </w:r>
      <w:r w:rsidRPr="00DD0B3B">
        <w:rPr>
          <w:color w:val="000000"/>
          <w:sz w:val="24"/>
          <w:szCs w:val="24"/>
        </w:rPr>
        <w:t>Pri výpočte  základu pre DPH používame dátum vystavenia faktúry, ktorý prepočítame referenčným  výmenným kurzom vyhláseným ECB</w:t>
      </w:r>
      <w:r w:rsidRPr="00DD0B3B">
        <w:rPr>
          <w:sz w:val="24"/>
          <w:szCs w:val="24"/>
        </w:rPr>
        <w:t xml:space="preserve"> v deň predchádzajúci dňu  vzniku daňovej povinnosti. </w:t>
      </w:r>
    </w:p>
    <w:p w:rsidR="00BE5512" w:rsidRPr="00714818" w:rsidRDefault="00BE5512" w:rsidP="006A2DCC">
      <w:pPr>
        <w:pStyle w:val="Odsekzoznamu1"/>
        <w:numPr>
          <w:ilvl w:val="0"/>
          <w:numId w:val="7"/>
        </w:numPr>
        <w:ind w:left="714" w:hanging="357"/>
        <w:rPr>
          <w:color w:val="000000"/>
          <w:sz w:val="24"/>
          <w:szCs w:val="24"/>
        </w:rPr>
      </w:pPr>
      <w:r w:rsidRPr="00714818">
        <w:rPr>
          <w:color w:val="000000"/>
          <w:sz w:val="24"/>
          <w:szCs w:val="24"/>
        </w:rPr>
        <w:t>Ak nie je zahraničný dodávateľ  platcom DPH tak DPH neúčtujeme.</w:t>
      </w:r>
    </w:p>
    <w:p w:rsidR="00BE5512" w:rsidRPr="00B87754" w:rsidRDefault="00BE5512" w:rsidP="00714818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B87754">
        <w:rPr>
          <w:b/>
          <w:bCs/>
          <w:i/>
          <w:iCs/>
          <w:color w:val="FF0000"/>
          <w:sz w:val="24"/>
          <w:szCs w:val="24"/>
        </w:rPr>
        <w:t>Príklad:</w:t>
      </w:r>
    </w:p>
    <w:p w:rsidR="00BE5512" w:rsidRPr="00DD0B3B" w:rsidRDefault="00BE5512" w:rsidP="006A2DCC">
      <w:pPr>
        <w:rPr>
          <w:i/>
          <w:iCs/>
          <w:sz w:val="24"/>
          <w:szCs w:val="24"/>
        </w:rPr>
      </w:pPr>
      <w:r w:rsidRPr="00DD0B3B">
        <w:rPr>
          <w:i/>
          <w:iCs/>
          <w:sz w:val="24"/>
          <w:szCs w:val="24"/>
        </w:rPr>
        <w:t xml:space="preserve">14. 01.2011 zahraničný dodávateľ z ČR vystavil faktúru na tovar 20 000,00 CZK. </w:t>
      </w:r>
    </w:p>
    <w:p w:rsidR="00BE5512" w:rsidRPr="00DD0B3B" w:rsidRDefault="00BE5512" w:rsidP="00714818">
      <w:pPr>
        <w:spacing w:after="0" w:line="240" w:lineRule="auto"/>
        <w:rPr>
          <w:i/>
          <w:iCs/>
          <w:sz w:val="24"/>
          <w:szCs w:val="24"/>
        </w:rPr>
      </w:pPr>
      <w:r w:rsidRPr="00DD0B3B">
        <w:rPr>
          <w:i/>
          <w:iCs/>
          <w:sz w:val="24"/>
          <w:szCs w:val="24"/>
        </w:rPr>
        <w:lastRenderedPageBreak/>
        <w:t>Tovar dodal 20.  01. 2011 dodávateľ dňa 20.  01. 2011. Úhrada faktúry nastala 25. 01. 2011 z devízového účtu. Zahraničný dodávateľ je platca DPH a naša firma je tiež platca DPH.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7"/>
        <w:gridCol w:w="896"/>
        <w:gridCol w:w="1013"/>
        <w:gridCol w:w="4185"/>
        <w:gridCol w:w="1125"/>
        <w:gridCol w:w="680"/>
        <w:gridCol w:w="768"/>
      </w:tblGrid>
      <w:tr w:rsidR="00BE5512" w:rsidRPr="0040745B">
        <w:trPr>
          <w:cantSplit/>
          <w:jc w:val="center"/>
        </w:trPr>
        <w:tc>
          <w:tcPr>
            <w:tcW w:w="547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proofErr w:type="spellStart"/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P.č</w:t>
            </w:r>
            <w:proofErr w:type="spellEnd"/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.</w:t>
            </w:r>
          </w:p>
        </w:tc>
        <w:tc>
          <w:tcPr>
            <w:tcW w:w="896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Dátum</w:t>
            </w:r>
          </w:p>
        </w:tc>
        <w:tc>
          <w:tcPr>
            <w:tcW w:w="1013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Doklad</w:t>
            </w:r>
          </w:p>
        </w:tc>
        <w:tc>
          <w:tcPr>
            <w:tcW w:w="4185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Text</w:t>
            </w:r>
          </w:p>
        </w:tc>
        <w:tc>
          <w:tcPr>
            <w:tcW w:w="1125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Suma €</w:t>
            </w:r>
          </w:p>
        </w:tc>
        <w:tc>
          <w:tcPr>
            <w:tcW w:w="1448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Účet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47" w:type="dxa"/>
            <w:vMerge/>
            <w:tcBorders>
              <w:bottom w:val="thickThinSmallGap" w:sz="12" w:space="0" w:color="auto"/>
            </w:tcBorders>
            <w:shd w:val="clear" w:color="auto" w:fill="D9D9D9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896" w:type="dxa"/>
            <w:vMerge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1013" w:type="dxa"/>
            <w:vMerge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4185" w:type="dxa"/>
            <w:vMerge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1125" w:type="dxa"/>
            <w:vMerge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680" w:type="dxa"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 xml:space="preserve">MD   </w:t>
            </w:r>
          </w:p>
        </w:tc>
        <w:tc>
          <w:tcPr>
            <w:tcW w:w="768" w:type="dxa"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 xml:space="preserve">DAL  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547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20. 01.</w:t>
            </w:r>
          </w:p>
        </w:tc>
        <w:tc>
          <w:tcPr>
            <w:tcW w:w="1013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ZDFA</w:t>
            </w:r>
          </w:p>
        </w:tc>
        <w:tc>
          <w:tcPr>
            <w:tcW w:w="4185" w:type="dxa"/>
            <w:vAlign w:val="center"/>
          </w:tcPr>
          <w:p w:rsidR="00BE5512" w:rsidRPr="00DD0B3B" w:rsidRDefault="00BE5512" w:rsidP="00150554">
            <w:pPr>
              <w:pStyle w:val="Odsekzoznamu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Faktúra za nákup hojdačiek z ČR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a/ cena bez DPH 20 000,00 CZK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20 000,00CZK/25,1111(kurz ECB z 19.01) = 796,46 €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b/ samozdanenie</w:t>
            </w:r>
          </w:p>
          <w:p w:rsidR="00BE5512" w:rsidRPr="00DD0B3B" w:rsidRDefault="00BE5512" w:rsidP="00150554">
            <w:pPr>
              <w:pStyle w:val="Odsekzoznamu1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Samozdanenie 20 000,00 : 25,1812 ( kurz ECB 13.01. faktúra bola vystavená 14.01.) = 794,24 €  -  základ pre výpočet DPH    20 % z 794,24 € = 158,85 €</w:t>
            </w:r>
          </w:p>
        </w:tc>
        <w:tc>
          <w:tcPr>
            <w:tcW w:w="1125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796,46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158,85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131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343.1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 xml:space="preserve"> 321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343.2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trHeight w:val="510"/>
          <w:jc w:val="center"/>
        </w:trPr>
        <w:tc>
          <w:tcPr>
            <w:tcW w:w="547" w:type="dxa"/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2.</w:t>
            </w:r>
          </w:p>
        </w:tc>
        <w:tc>
          <w:tcPr>
            <w:tcW w:w="896" w:type="dxa"/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25. 01.</w:t>
            </w:r>
          </w:p>
        </w:tc>
        <w:tc>
          <w:tcPr>
            <w:tcW w:w="1013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VDU</w:t>
            </w:r>
          </w:p>
        </w:tc>
        <w:tc>
          <w:tcPr>
            <w:tcW w:w="4185" w:type="dxa"/>
            <w:vAlign w:val="center"/>
          </w:tcPr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Úhrada ZDFA kurz ECB 24. 02.  25,2181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20 000,00 / 25,2181 = 794,08 €</w:t>
            </w:r>
          </w:p>
        </w:tc>
        <w:tc>
          <w:tcPr>
            <w:tcW w:w="1125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794,08</w:t>
            </w:r>
          </w:p>
        </w:tc>
        <w:tc>
          <w:tcPr>
            <w:tcW w:w="680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68" w:type="dxa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221.2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47" w:type="dxa"/>
            <w:tcBorders>
              <w:bottom w:val="thinThickSmallGap" w:sz="12" w:space="0" w:color="auto"/>
            </w:tcBorders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5.</w:t>
            </w:r>
          </w:p>
        </w:tc>
        <w:tc>
          <w:tcPr>
            <w:tcW w:w="896" w:type="dxa"/>
            <w:tcBorders>
              <w:bottom w:val="thinThickSmallGap" w:sz="12" w:space="0" w:color="auto"/>
            </w:tcBorders>
            <w:vAlign w:val="center"/>
          </w:tcPr>
          <w:p w:rsidR="00BE5512" w:rsidRPr="0040745B" w:rsidRDefault="00BE5512" w:rsidP="00150554">
            <w:pPr>
              <w:jc w:val="center"/>
              <w:rPr>
                <w:sz w:val="24"/>
                <w:szCs w:val="24"/>
              </w:rPr>
            </w:pPr>
            <w:r w:rsidRPr="0040745B">
              <w:rPr>
                <w:sz w:val="24"/>
                <w:szCs w:val="24"/>
              </w:rPr>
              <w:t>25. 02.</w:t>
            </w:r>
          </w:p>
        </w:tc>
        <w:tc>
          <w:tcPr>
            <w:tcW w:w="1013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4185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Odsekzoznamu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 xml:space="preserve">Kurzový rozdiel 796,46 – 794,08 = 3,38 € </w:t>
            </w:r>
          </w:p>
        </w:tc>
        <w:tc>
          <w:tcPr>
            <w:tcW w:w="1125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 xml:space="preserve">    3,38</w:t>
            </w:r>
          </w:p>
        </w:tc>
        <w:tc>
          <w:tcPr>
            <w:tcW w:w="680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68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 xml:space="preserve"> 663</w:t>
            </w:r>
          </w:p>
        </w:tc>
      </w:tr>
    </w:tbl>
    <w:p w:rsidR="00BE5512" w:rsidRPr="00DD0B3B" w:rsidRDefault="00BE5512" w:rsidP="000A663E">
      <w:pPr>
        <w:spacing w:after="0" w:line="240" w:lineRule="auto"/>
        <w:rPr>
          <w:i/>
          <w:iCs/>
          <w:sz w:val="24"/>
          <w:szCs w:val="24"/>
        </w:rPr>
      </w:pPr>
    </w:p>
    <w:p w:rsidR="00BE5512" w:rsidRPr="00B87754" w:rsidRDefault="00BE5512" w:rsidP="000A663E">
      <w:pPr>
        <w:spacing w:after="0" w:line="240" w:lineRule="auto"/>
        <w:rPr>
          <w:b/>
          <w:bCs/>
          <w:i/>
          <w:iCs/>
          <w:color w:val="0070C0"/>
          <w:sz w:val="24"/>
          <w:szCs w:val="24"/>
        </w:rPr>
      </w:pPr>
      <w:r w:rsidRPr="00B87754">
        <w:rPr>
          <w:b/>
          <w:bCs/>
          <w:i/>
          <w:iCs/>
          <w:color w:val="FF0000"/>
          <w:sz w:val="24"/>
          <w:szCs w:val="24"/>
        </w:rPr>
        <w:t>VÝVOZ</w:t>
      </w:r>
    </w:p>
    <w:p w:rsidR="00BE5512" w:rsidRPr="00DD0B3B" w:rsidRDefault="00BE5512" w:rsidP="006A2DCC">
      <w:pPr>
        <w:pStyle w:val="Odsekzoznamu1"/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DD0B3B">
        <w:rPr>
          <w:rFonts w:ascii="Times New Roman" w:hAnsi="Times New Roman" w:cs="Times New Roman"/>
          <w:sz w:val="24"/>
          <w:szCs w:val="24"/>
        </w:rPr>
        <w:t>Vývoz do krajín, ktoré nie sú v EÚ  je</w:t>
      </w:r>
      <w:r w:rsidRPr="00DD0B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87754">
        <w:rPr>
          <w:rFonts w:ascii="Times New Roman" w:hAnsi="Times New Roman" w:cs="Times New Roman"/>
          <w:color w:val="FF0000"/>
          <w:sz w:val="24"/>
          <w:szCs w:val="24"/>
        </w:rPr>
        <w:t>oslobodený</w:t>
      </w:r>
      <w:r w:rsidRPr="00DD0B3B">
        <w:rPr>
          <w:rFonts w:ascii="Times New Roman" w:hAnsi="Times New Roman" w:cs="Times New Roman"/>
          <w:color w:val="943634"/>
          <w:sz w:val="24"/>
          <w:szCs w:val="24"/>
        </w:rPr>
        <w:t xml:space="preserve"> </w:t>
      </w:r>
      <w:r w:rsidRPr="00DD0B3B">
        <w:rPr>
          <w:rFonts w:ascii="Times New Roman" w:hAnsi="Times New Roman" w:cs="Times New Roman"/>
          <w:sz w:val="24"/>
          <w:szCs w:val="24"/>
        </w:rPr>
        <w:t xml:space="preserve">od </w:t>
      </w:r>
      <w:r w:rsidRPr="00B87754">
        <w:rPr>
          <w:rFonts w:ascii="Times New Roman" w:hAnsi="Times New Roman" w:cs="Times New Roman"/>
          <w:color w:val="FF0000"/>
          <w:sz w:val="24"/>
          <w:szCs w:val="24"/>
        </w:rPr>
        <w:t>CLA</w:t>
      </w:r>
      <w:r w:rsidRPr="00DD0B3B">
        <w:rPr>
          <w:rFonts w:ascii="Times New Roman" w:hAnsi="Times New Roman" w:cs="Times New Roman"/>
          <w:color w:val="943634"/>
          <w:sz w:val="24"/>
          <w:szCs w:val="24"/>
        </w:rPr>
        <w:t xml:space="preserve"> </w:t>
      </w:r>
      <w:r w:rsidRPr="00DD0B3B">
        <w:rPr>
          <w:rFonts w:ascii="Times New Roman" w:hAnsi="Times New Roman" w:cs="Times New Roman"/>
          <w:sz w:val="24"/>
          <w:szCs w:val="24"/>
        </w:rPr>
        <w:t>a</w:t>
      </w:r>
      <w:r w:rsidRPr="00DD0B3B">
        <w:rPr>
          <w:rFonts w:ascii="Times New Roman" w:hAnsi="Times New Roman" w:cs="Times New Roman"/>
          <w:color w:val="943634"/>
          <w:sz w:val="24"/>
          <w:szCs w:val="24"/>
        </w:rPr>
        <w:t> </w:t>
      </w:r>
      <w:r w:rsidRPr="00B87754">
        <w:rPr>
          <w:rFonts w:ascii="Times New Roman" w:hAnsi="Times New Roman" w:cs="Times New Roman"/>
          <w:color w:val="FF0000"/>
          <w:sz w:val="24"/>
          <w:szCs w:val="24"/>
        </w:rPr>
        <w:t xml:space="preserve">DPH. </w:t>
      </w:r>
    </w:p>
    <w:p w:rsidR="00BE5512" w:rsidRPr="00DD0B3B" w:rsidRDefault="00BE5512" w:rsidP="006A2DCC">
      <w:pPr>
        <w:pStyle w:val="Odsekzoznamu1"/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DD0B3B">
        <w:rPr>
          <w:rFonts w:ascii="Times New Roman" w:hAnsi="Times New Roman" w:cs="Times New Roman"/>
          <w:sz w:val="24"/>
          <w:szCs w:val="24"/>
        </w:rPr>
        <w:t>Vývoz do krajín v rámci EÚ:</w:t>
      </w:r>
    </w:p>
    <w:p w:rsidR="00BE5512" w:rsidRPr="00DD0B3B" w:rsidRDefault="00BE5512" w:rsidP="006A2DCC">
      <w:pPr>
        <w:pStyle w:val="Odsekzoznamu1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E5512" w:rsidRPr="00DD0B3B" w:rsidRDefault="00BE5512" w:rsidP="000A663E">
      <w:pPr>
        <w:pStyle w:val="Odsekzoznamu1"/>
        <w:numPr>
          <w:ilvl w:val="2"/>
          <w:numId w:val="4"/>
        </w:numPr>
        <w:spacing w:after="0" w:line="240" w:lineRule="auto"/>
        <w:ind w:left="850" w:hanging="357"/>
        <w:rPr>
          <w:rFonts w:ascii="Times New Roman" w:hAnsi="Times New Roman" w:cs="Times New Roman"/>
          <w:b/>
          <w:bCs/>
          <w:color w:val="943634"/>
          <w:sz w:val="24"/>
          <w:szCs w:val="24"/>
        </w:rPr>
      </w:pPr>
      <w:r w:rsidRPr="00DD0B3B">
        <w:rPr>
          <w:rFonts w:ascii="Times New Roman" w:hAnsi="Times New Roman" w:cs="Times New Roman"/>
          <w:sz w:val="24"/>
          <w:szCs w:val="24"/>
        </w:rPr>
        <w:t xml:space="preserve"> ak zahraničný odberateľ je platcom DPH a aj my sme platcom DPH, faktúra musí obsahovať nasledovnú vetu:</w:t>
      </w:r>
      <w:r w:rsidRPr="00DD0B3B">
        <w:rPr>
          <w:rFonts w:ascii="Times New Roman" w:hAnsi="Times New Roman" w:cs="Times New Roman"/>
          <w:color w:val="943634"/>
          <w:sz w:val="24"/>
          <w:szCs w:val="24"/>
        </w:rPr>
        <w:t xml:space="preserve"> </w:t>
      </w:r>
      <w:r w:rsidRPr="00B87754">
        <w:rPr>
          <w:rFonts w:ascii="Times New Roman" w:hAnsi="Times New Roman" w:cs="Times New Roman"/>
          <w:color w:val="FF0000"/>
          <w:sz w:val="24"/>
          <w:szCs w:val="24"/>
        </w:rPr>
        <w:t>„TOVAR JE DODANÝ BEZ DANE  PLATITEĽOVI DPH V ZMYLSE ZÁKONA O DPH“</w:t>
      </w:r>
      <w:r w:rsidRPr="00DD0B3B">
        <w:rPr>
          <w:rFonts w:ascii="Times New Roman" w:hAnsi="Times New Roman" w:cs="Times New Roman"/>
          <w:b/>
          <w:bCs/>
          <w:color w:val="943634"/>
          <w:sz w:val="24"/>
          <w:szCs w:val="24"/>
        </w:rPr>
        <w:t xml:space="preserve"> </w:t>
      </w:r>
    </w:p>
    <w:p w:rsidR="00BE5512" w:rsidRPr="00DD0B3B" w:rsidRDefault="00BE5512" w:rsidP="006A2DCC">
      <w:pPr>
        <w:pStyle w:val="Odsekzoznamu1"/>
        <w:numPr>
          <w:ilvl w:val="2"/>
          <w:numId w:val="4"/>
        </w:numPr>
        <w:spacing w:after="0" w:line="240" w:lineRule="auto"/>
        <w:ind w:left="851"/>
        <w:rPr>
          <w:rFonts w:ascii="Times New Roman" w:hAnsi="Times New Roman" w:cs="Times New Roman"/>
          <w:b/>
          <w:bCs/>
          <w:color w:val="943634"/>
          <w:sz w:val="24"/>
          <w:szCs w:val="24"/>
        </w:rPr>
      </w:pPr>
      <w:r w:rsidRPr="00DD0B3B">
        <w:rPr>
          <w:rFonts w:ascii="Times New Roman" w:hAnsi="Times New Roman" w:cs="Times New Roman"/>
          <w:sz w:val="24"/>
          <w:szCs w:val="24"/>
        </w:rPr>
        <w:t xml:space="preserve"> ak odberateľ nie je platcom DPH musíme na faktúre vyúčtovať príslušnú DPH.</w:t>
      </w:r>
    </w:p>
    <w:p w:rsidR="00BE5512" w:rsidRDefault="00BE5512" w:rsidP="000A663E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BE5512" w:rsidRPr="00B87754" w:rsidRDefault="00BE5512" w:rsidP="000A663E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B87754">
        <w:rPr>
          <w:b/>
          <w:bCs/>
          <w:i/>
          <w:iCs/>
          <w:color w:val="FF0000"/>
          <w:sz w:val="24"/>
          <w:szCs w:val="24"/>
        </w:rPr>
        <w:t>Príklad:</w:t>
      </w:r>
    </w:p>
    <w:p w:rsidR="00BE5512" w:rsidRPr="00DD0B3B" w:rsidRDefault="00BE5512" w:rsidP="006A2DCC">
      <w:pPr>
        <w:spacing w:after="0" w:line="240" w:lineRule="auto"/>
        <w:rPr>
          <w:i/>
          <w:iCs/>
          <w:sz w:val="24"/>
          <w:szCs w:val="24"/>
        </w:rPr>
      </w:pPr>
      <w:r w:rsidRPr="00DD0B3B">
        <w:rPr>
          <w:i/>
          <w:iCs/>
          <w:sz w:val="24"/>
          <w:szCs w:val="24"/>
        </w:rPr>
        <w:t xml:space="preserve">04. 03. 2011 </w:t>
      </w:r>
      <w:r w:rsidRPr="00DD0B3B">
        <w:rPr>
          <w:b/>
          <w:bCs/>
          <w:color w:val="943634"/>
          <w:sz w:val="24"/>
          <w:szCs w:val="24"/>
        </w:rPr>
        <w:t xml:space="preserve"> </w:t>
      </w:r>
      <w:r w:rsidRPr="00DD0B3B">
        <w:rPr>
          <w:i/>
          <w:iCs/>
          <w:sz w:val="24"/>
          <w:szCs w:val="24"/>
        </w:rPr>
        <w:t xml:space="preserve">predávame tovar do Poľska v hodnote 20 000,00 €. </w:t>
      </w:r>
    </w:p>
    <w:p w:rsidR="00BE5512" w:rsidRPr="00DD0B3B" w:rsidRDefault="00BE5512" w:rsidP="006A2DCC">
      <w:pPr>
        <w:spacing w:after="0" w:line="240" w:lineRule="auto"/>
        <w:rPr>
          <w:i/>
          <w:iCs/>
          <w:sz w:val="24"/>
          <w:szCs w:val="24"/>
        </w:rPr>
      </w:pPr>
      <w:r w:rsidRPr="00DD0B3B">
        <w:rPr>
          <w:i/>
          <w:iCs/>
          <w:sz w:val="24"/>
          <w:szCs w:val="24"/>
        </w:rPr>
        <w:t>Zahraničný dodávateľ je platca DPH a naša firma je tiež platca DPH.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6"/>
        <w:gridCol w:w="896"/>
        <w:gridCol w:w="1013"/>
        <w:gridCol w:w="4171"/>
        <w:gridCol w:w="1143"/>
        <w:gridCol w:w="675"/>
        <w:gridCol w:w="770"/>
      </w:tblGrid>
      <w:tr w:rsidR="00BE5512" w:rsidRPr="0040745B">
        <w:trPr>
          <w:cantSplit/>
          <w:jc w:val="center"/>
        </w:trPr>
        <w:tc>
          <w:tcPr>
            <w:tcW w:w="546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proofErr w:type="spellStart"/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P.č</w:t>
            </w:r>
            <w:proofErr w:type="spellEnd"/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.</w:t>
            </w:r>
          </w:p>
        </w:tc>
        <w:tc>
          <w:tcPr>
            <w:tcW w:w="896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Dátum</w:t>
            </w:r>
          </w:p>
        </w:tc>
        <w:tc>
          <w:tcPr>
            <w:tcW w:w="1013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Doklad</w:t>
            </w:r>
          </w:p>
        </w:tc>
        <w:tc>
          <w:tcPr>
            <w:tcW w:w="4171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Text</w:t>
            </w:r>
          </w:p>
        </w:tc>
        <w:tc>
          <w:tcPr>
            <w:tcW w:w="1143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Suma €</w:t>
            </w:r>
          </w:p>
        </w:tc>
        <w:tc>
          <w:tcPr>
            <w:tcW w:w="1445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Účet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46" w:type="dxa"/>
            <w:vMerge/>
            <w:tcBorders>
              <w:bottom w:val="thickThinSmallGap" w:sz="12" w:space="0" w:color="auto"/>
            </w:tcBorders>
            <w:shd w:val="clear" w:color="auto" w:fill="D9D9D9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896" w:type="dxa"/>
            <w:vMerge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1013" w:type="dxa"/>
            <w:vMerge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4171" w:type="dxa"/>
            <w:vMerge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1143" w:type="dxa"/>
            <w:vMerge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675" w:type="dxa"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 xml:space="preserve">MD   </w:t>
            </w:r>
          </w:p>
        </w:tc>
        <w:tc>
          <w:tcPr>
            <w:tcW w:w="770" w:type="dxa"/>
            <w:tcBorders>
              <w:bottom w:val="thickThinSmallGap" w:sz="12" w:space="0" w:color="auto"/>
            </w:tcBorders>
            <w:shd w:val="clear" w:color="auto" w:fill="D9D9D9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 xml:space="preserve">DAL  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546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04. 03.</w:t>
            </w:r>
          </w:p>
        </w:tc>
        <w:tc>
          <w:tcPr>
            <w:tcW w:w="1013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ZOFA</w:t>
            </w:r>
          </w:p>
        </w:tc>
        <w:tc>
          <w:tcPr>
            <w:tcW w:w="4171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Odsekzoznamu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Faktúra za predaj tovaru do Poľska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a/ cena bez DPH 20 000,00 €</w:t>
            </w:r>
          </w:p>
        </w:tc>
        <w:tc>
          <w:tcPr>
            <w:tcW w:w="1143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675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70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604</w:t>
            </w:r>
          </w:p>
        </w:tc>
      </w:tr>
    </w:tbl>
    <w:p w:rsidR="00BE5512" w:rsidRDefault="00BE5512" w:rsidP="000A663E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BE5512" w:rsidRPr="00B87754" w:rsidRDefault="00BE5512" w:rsidP="000A663E">
      <w:pPr>
        <w:spacing w:after="0" w:line="240" w:lineRule="auto"/>
        <w:rPr>
          <w:i/>
          <w:iCs/>
          <w:color w:val="FF0000"/>
          <w:sz w:val="24"/>
          <w:szCs w:val="24"/>
          <w:u w:val="single"/>
        </w:rPr>
      </w:pPr>
      <w:r w:rsidRPr="00B87754">
        <w:rPr>
          <w:b/>
          <w:bCs/>
          <w:i/>
          <w:iCs/>
          <w:color w:val="FF0000"/>
          <w:sz w:val="24"/>
          <w:szCs w:val="24"/>
        </w:rPr>
        <w:t>Príklad:</w:t>
      </w:r>
    </w:p>
    <w:p w:rsidR="00BE5512" w:rsidRPr="00DD0B3B" w:rsidRDefault="00BE5512" w:rsidP="006A2DCC">
      <w:pPr>
        <w:spacing w:after="0" w:line="240" w:lineRule="auto"/>
        <w:rPr>
          <w:i/>
          <w:iCs/>
          <w:sz w:val="24"/>
          <w:szCs w:val="24"/>
        </w:rPr>
      </w:pPr>
      <w:r w:rsidRPr="00DD0B3B">
        <w:rPr>
          <w:i/>
          <w:iCs/>
          <w:sz w:val="24"/>
          <w:szCs w:val="24"/>
        </w:rPr>
        <w:t xml:space="preserve">04. 03. 2011 </w:t>
      </w:r>
      <w:r w:rsidRPr="00DD0B3B">
        <w:rPr>
          <w:b/>
          <w:bCs/>
          <w:color w:val="943634"/>
          <w:sz w:val="24"/>
          <w:szCs w:val="24"/>
        </w:rPr>
        <w:t xml:space="preserve"> </w:t>
      </w:r>
      <w:r w:rsidRPr="00DD0B3B">
        <w:rPr>
          <w:i/>
          <w:iCs/>
          <w:sz w:val="24"/>
          <w:szCs w:val="24"/>
        </w:rPr>
        <w:t xml:space="preserve">predávame tovar do Poľska v hodnote 20 000,00 €. </w:t>
      </w:r>
    </w:p>
    <w:p w:rsidR="00BE5512" w:rsidRPr="00DD0B3B" w:rsidRDefault="00BE5512" w:rsidP="006A2DCC">
      <w:pPr>
        <w:spacing w:after="0" w:line="240" w:lineRule="auto"/>
        <w:rPr>
          <w:i/>
          <w:iCs/>
          <w:sz w:val="24"/>
          <w:szCs w:val="24"/>
        </w:rPr>
      </w:pPr>
      <w:r w:rsidRPr="00DD0B3B">
        <w:rPr>
          <w:i/>
          <w:iCs/>
          <w:sz w:val="24"/>
          <w:szCs w:val="24"/>
        </w:rPr>
        <w:t>Zahraničný dodávateľ nie je platca DPH.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6"/>
        <w:gridCol w:w="896"/>
        <w:gridCol w:w="1013"/>
        <w:gridCol w:w="4171"/>
        <w:gridCol w:w="1143"/>
        <w:gridCol w:w="675"/>
        <w:gridCol w:w="770"/>
      </w:tblGrid>
      <w:tr w:rsidR="00BE5512" w:rsidRPr="0040745B">
        <w:trPr>
          <w:cantSplit/>
          <w:jc w:val="center"/>
        </w:trPr>
        <w:tc>
          <w:tcPr>
            <w:tcW w:w="542" w:type="dxa"/>
            <w:vMerge w:val="restart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proofErr w:type="spellStart"/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P.č</w:t>
            </w:r>
            <w:proofErr w:type="spellEnd"/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.</w:t>
            </w:r>
          </w:p>
        </w:tc>
        <w:tc>
          <w:tcPr>
            <w:tcW w:w="812" w:type="dxa"/>
            <w:vMerge w:val="restart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522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Dátum</w:t>
            </w:r>
          </w:p>
        </w:tc>
        <w:tc>
          <w:tcPr>
            <w:tcW w:w="912" w:type="dxa"/>
            <w:vMerge w:val="restart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Doklad</w:t>
            </w:r>
          </w:p>
        </w:tc>
        <w:tc>
          <w:tcPr>
            <w:tcW w:w="4283" w:type="dxa"/>
            <w:vMerge w:val="restart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Text</w:t>
            </w:r>
          </w:p>
        </w:tc>
        <w:tc>
          <w:tcPr>
            <w:tcW w:w="1143" w:type="dxa"/>
            <w:vMerge w:val="restart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Suma €</w:t>
            </w:r>
          </w:p>
        </w:tc>
        <w:tc>
          <w:tcPr>
            <w:tcW w:w="1454" w:type="dxa"/>
            <w:gridSpan w:val="2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>Účet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542" w:type="dxa"/>
            <w:vMerge/>
            <w:tcBorders>
              <w:bottom w:val="thickThinSmallGap" w:sz="12" w:space="0" w:color="auto"/>
            </w:tcBorders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812" w:type="dxa"/>
            <w:vMerge/>
            <w:tcBorders>
              <w:bottom w:val="thickThin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912" w:type="dxa"/>
            <w:vMerge/>
            <w:tcBorders>
              <w:bottom w:val="thickThin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4283" w:type="dxa"/>
            <w:vMerge/>
            <w:tcBorders>
              <w:bottom w:val="thickThin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1143" w:type="dxa"/>
            <w:vMerge/>
            <w:tcBorders>
              <w:bottom w:val="thickThin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Microsoft Sans Serif" w:hAnsi="Microsoft Sans Serif" w:cs="Microsoft Sans Serif"/>
                <w:b/>
                <w:bCs/>
                <w:smallCaps/>
              </w:rPr>
            </w:pPr>
          </w:p>
        </w:tc>
        <w:tc>
          <w:tcPr>
            <w:tcW w:w="680" w:type="dxa"/>
            <w:tcBorders>
              <w:bottom w:val="thickThinSmallGap" w:sz="12" w:space="0" w:color="auto"/>
            </w:tcBorders>
            <w:shd w:val="clear" w:color="auto" w:fill="E6E6E6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 xml:space="preserve">MD   </w:t>
            </w:r>
          </w:p>
        </w:tc>
        <w:tc>
          <w:tcPr>
            <w:tcW w:w="774" w:type="dxa"/>
            <w:tcBorders>
              <w:bottom w:val="thickThinSmallGap" w:sz="12" w:space="0" w:color="auto"/>
            </w:tcBorders>
            <w:shd w:val="clear" w:color="auto" w:fill="E6E6E6"/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DD0B3B">
              <w:rPr>
                <w:rFonts w:ascii="Times New Roman" w:hAnsi="Times New Roman" w:cs="Times New Roman"/>
                <w:b/>
                <w:bCs/>
                <w:smallCaps/>
              </w:rPr>
              <w:t xml:space="preserve">DAL  </w:t>
            </w:r>
          </w:p>
        </w:tc>
      </w:tr>
      <w:tr w:rsidR="00BE5512" w:rsidRPr="0040745B">
        <w:tblPrEx>
          <w:tblCellMar>
            <w:left w:w="70" w:type="dxa"/>
            <w:right w:w="70" w:type="dxa"/>
          </w:tblCellMar>
        </w:tblPrEx>
        <w:trPr>
          <w:trHeight w:val="397"/>
          <w:jc w:val="center"/>
        </w:trPr>
        <w:tc>
          <w:tcPr>
            <w:tcW w:w="542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2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04. 03.</w:t>
            </w:r>
          </w:p>
        </w:tc>
        <w:tc>
          <w:tcPr>
            <w:tcW w:w="912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ZOFA</w:t>
            </w:r>
          </w:p>
        </w:tc>
        <w:tc>
          <w:tcPr>
            <w:tcW w:w="4283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Odsekzoznamu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Faktúra za predaj tovaru do Poľska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a/ cena bez DPH 20 000,00 €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b/ DPH</w:t>
            </w:r>
          </w:p>
          <w:p w:rsidR="00BE5512" w:rsidRPr="00DD0B3B" w:rsidRDefault="00BE5512" w:rsidP="00150554">
            <w:pPr>
              <w:pStyle w:val="Odsekzoznamu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c/ spolu</w:t>
            </w:r>
          </w:p>
        </w:tc>
        <w:tc>
          <w:tcPr>
            <w:tcW w:w="1143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20 000,00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4 000,00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387"/>
                <w:tab w:val="left" w:pos="5954"/>
                <w:tab w:val="left" w:pos="6379"/>
                <w:tab w:val="left" w:pos="8080"/>
              </w:tabs>
              <w:ind w:left="0" w:right="43"/>
              <w:jc w:val="right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680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74" w:type="dxa"/>
            <w:tcBorders>
              <w:bottom w:val="thinThickSmallGap" w:sz="12" w:space="0" w:color="auto"/>
            </w:tcBorders>
            <w:vAlign w:val="center"/>
          </w:tcPr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604</w:t>
            </w:r>
          </w:p>
          <w:p w:rsidR="00BE5512" w:rsidRPr="00DD0B3B" w:rsidRDefault="00BE5512" w:rsidP="00150554">
            <w:pPr>
              <w:pStyle w:val="Normlnysozarkami"/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D0B3B">
              <w:rPr>
                <w:rFonts w:ascii="Times New Roman" w:hAnsi="Times New Roman" w:cs="Times New Roman"/>
              </w:rPr>
              <w:t>343</w:t>
            </w:r>
          </w:p>
        </w:tc>
      </w:tr>
    </w:tbl>
    <w:p w:rsidR="00BE5512" w:rsidRDefault="00BE5512" w:rsidP="000A663E"/>
    <w:sectPr w:rsidR="00BE5512" w:rsidSect="0055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8BF"/>
    <w:multiLevelType w:val="hybridMultilevel"/>
    <w:tmpl w:val="2EEA3FCE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A05E40"/>
    <w:multiLevelType w:val="hybridMultilevel"/>
    <w:tmpl w:val="660E9FC2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453716"/>
    <w:multiLevelType w:val="hybridMultilevel"/>
    <w:tmpl w:val="C52010F4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4530E66"/>
    <w:multiLevelType w:val="hybridMultilevel"/>
    <w:tmpl w:val="8A8E0F4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E3502"/>
    <w:multiLevelType w:val="hybridMultilevel"/>
    <w:tmpl w:val="3CD2AFA8"/>
    <w:lvl w:ilvl="0" w:tplc="BF128C2C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  <w:color w:val="0070C0"/>
      </w:rPr>
    </w:lvl>
    <w:lvl w:ilvl="1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D2A343C">
      <w:start w:val="1"/>
      <w:numFmt w:val="bullet"/>
      <w:lvlText w:val=""/>
      <w:lvlJc w:val="left"/>
      <w:pPr>
        <w:ind w:left="1788" w:hanging="360"/>
      </w:pPr>
      <w:rPr>
        <w:rFonts w:ascii="Wingdings" w:hAnsi="Wingdings" w:cs="Wingdings" w:hint="default"/>
        <w:color w:val="FF0000"/>
      </w:rPr>
    </w:lvl>
    <w:lvl w:ilvl="3" w:tplc="041B0001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</w:abstractNum>
  <w:abstractNum w:abstractNumId="5">
    <w:nsid w:val="5F063D8C"/>
    <w:multiLevelType w:val="hybridMultilevel"/>
    <w:tmpl w:val="1B9C6E78"/>
    <w:lvl w:ilvl="0" w:tplc="62F60388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FF0000"/>
      </w:rPr>
    </w:lvl>
    <w:lvl w:ilvl="1" w:tplc="041B0019">
      <w:start w:val="1"/>
      <w:numFmt w:val="lowerLetter"/>
      <w:lvlText w:val="%2."/>
      <w:lvlJc w:val="left"/>
      <w:pPr>
        <w:ind w:left="284" w:hanging="360"/>
      </w:pPr>
    </w:lvl>
    <w:lvl w:ilvl="2" w:tplc="041B001B">
      <w:start w:val="1"/>
      <w:numFmt w:val="lowerRoman"/>
      <w:lvlText w:val="%3."/>
      <w:lvlJc w:val="right"/>
      <w:pPr>
        <w:ind w:left="1004" w:hanging="180"/>
      </w:pPr>
    </w:lvl>
    <w:lvl w:ilvl="3" w:tplc="041B000F">
      <w:start w:val="1"/>
      <w:numFmt w:val="decimal"/>
      <w:lvlText w:val="%4."/>
      <w:lvlJc w:val="left"/>
      <w:pPr>
        <w:ind w:left="1724" w:hanging="360"/>
      </w:pPr>
    </w:lvl>
    <w:lvl w:ilvl="4" w:tplc="041B0019">
      <w:start w:val="1"/>
      <w:numFmt w:val="lowerLetter"/>
      <w:lvlText w:val="%5."/>
      <w:lvlJc w:val="left"/>
      <w:pPr>
        <w:ind w:left="2444" w:hanging="360"/>
      </w:pPr>
    </w:lvl>
    <w:lvl w:ilvl="5" w:tplc="041B001B">
      <w:start w:val="1"/>
      <w:numFmt w:val="lowerRoman"/>
      <w:lvlText w:val="%6."/>
      <w:lvlJc w:val="right"/>
      <w:pPr>
        <w:ind w:left="3164" w:hanging="180"/>
      </w:pPr>
    </w:lvl>
    <w:lvl w:ilvl="6" w:tplc="041B000F">
      <w:start w:val="1"/>
      <w:numFmt w:val="decimal"/>
      <w:lvlText w:val="%7."/>
      <w:lvlJc w:val="left"/>
      <w:pPr>
        <w:ind w:left="3884" w:hanging="360"/>
      </w:pPr>
    </w:lvl>
    <w:lvl w:ilvl="7" w:tplc="041B0019">
      <w:start w:val="1"/>
      <w:numFmt w:val="lowerLetter"/>
      <w:lvlText w:val="%8."/>
      <w:lvlJc w:val="left"/>
      <w:pPr>
        <w:ind w:left="4604" w:hanging="360"/>
      </w:pPr>
    </w:lvl>
    <w:lvl w:ilvl="8" w:tplc="041B001B">
      <w:start w:val="1"/>
      <w:numFmt w:val="lowerRoman"/>
      <w:lvlText w:val="%9."/>
      <w:lvlJc w:val="right"/>
      <w:pPr>
        <w:ind w:left="5324" w:hanging="180"/>
      </w:pPr>
    </w:lvl>
  </w:abstractNum>
  <w:abstractNum w:abstractNumId="6">
    <w:nsid w:val="63660CDE"/>
    <w:multiLevelType w:val="hybridMultilevel"/>
    <w:tmpl w:val="811A5BB8"/>
    <w:lvl w:ilvl="0" w:tplc="2C7C17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776D14A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65351"/>
    <w:multiLevelType w:val="hybridMultilevel"/>
    <w:tmpl w:val="159453CA"/>
    <w:lvl w:ilvl="0" w:tplc="F6826CC4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04439"/>
    <w:rsid w:val="000A663E"/>
    <w:rsid w:val="00150554"/>
    <w:rsid w:val="0040745B"/>
    <w:rsid w:val="0055700E"/>
    <w:rsid w:val="005703B7"/>
    <w:rsid w:val="006A2DCC"/>
    <w:rsid w:val="00714818"/>
    <w:rsid w:val="008A55CB"/>
    <w:rsid w:val="008D51B8"/>
    <w:rsid w:val="00904439"/>
    <w:rsid w:val="00970034"/>
    <w:rsid w:val="009A377E"/>
    <w:rsid w:val="00AF3CD2"/>
    <w:rsid w:val="00B87754"/>
    <w:rsid w:val="00BE5512"/>
    <w:rsid w:val="00DD0B3B"/>
    <w:rsid w:val="00F1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Rovná spojovacia šípka 11"/>
        <o:r id="V:Rule2" type="connector" idref="#Rovná spojovacia šípka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2DCC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A2DC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A2DCC"/>
    <w:rPr>
      <w:rFonts w:ascii="Cambria" w:hAnsi="Cambria" w:cs="Cambria"/>
      <w:b/>
      <w:bCs/>
      <w:color w:val="365F91"/>
      <w:sz w:val="28"/>
      <w:szCs w:val="28"/>
    </w:rPr>
  </w:style>
  <w:style w:type="paragraph" w:styleId="Normlnysozarkami">
    <w:name w:val="Normal Indent"/>
    <w:basedOn w:val="Normlny"/>
    <w:uiPriority w:val="99"/>
    <w:rsid w:val="006A2DCC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6A2D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</dc:creator>
  <cp:lastModifiedBy>Uzivatel</cp:lastModifiedBy>
  <cp:revision>4</cp:revision>
  <dcterms:created xsi:type="dcterms:W3CDTF">2012-10-04T12:23:00Z</dcterms:created>
  <dcterms:modified xsi:type="dcterms:W3CDTF">2012-10-04T14:58:00Z</dcterms:modified>
</cp:coreProperties>
</file>